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C45FBB" w14:textId="754D962F" w:rsidR="009455F8" w:rsidRPr="005F6BEE" w:rsidRDefault="00E454E4" w:rsidP="00C962CE">
      <w:pPr>
        <w:jc w:val="center"/>
        <w:rPr>
          <w:rFonts w:ascii="Verdana" w:hAnsi="Verdana"/>
          <w:sz w:val="20"/>
          <w:szCs w:val="20"/>
          <w:u w:val="single"/>
          <w:lang w:val="es-MX"/>
        </w:rPr>
      </w:pPr>
      <w:r w:rsidRPr="00AA11F0">
        <w:rPr>
          <w:rFonts w:ascii="Verdana" w:hAnsi="Verdana"/>
          <w:b/>
          <w:sz w:val="20"/>
          <w:szCs w:val="20"/>
          <w:u w:val="single"/>
          <w:lang w:val="es-MX"/>
        </w:rPr>
        <w:t xml:space="preserve">Caso </w:t>
      </w:r>
      <w:r w:rsidR="0016329A">
        <w:rPr>
          <w:rFonts w:ascii="Verdana" w:hAnsi="Verdana"/>
          <w:b/>
          <w:sz w:val="20"/>
          <w:szCs w:val="20"/>
          <w:u w:val="single"/>
          <w:lang w:val="es-MX"/>
        </w:rPr>
        <w:t>García Rodríguez y otro</w:t>
      </w:r>
      <w:r w:rsidRPr="00AA11F0">
        <w:rPr>
          <w:rFonts w:ascii="Verdana" w:hAnsi="Verdana"/>
          <w:b/>
          <w:sz w:val="20"/>
          <w:szCs w:val="20"/>
          <w:u w:val="single"/>
          <w:lang w:val="es-MX"/>
        </w:rPr>
        <w:t xml:space="preserve"> </w:t>
      </w:r>
      <w:r w:rsidRPr="00AA11F0">
        <w:rPr>
          <w:rFonts w:ascii="Verdana" w:hAnsi="Verdana"/>
          <w:b/>
          <w:i/>
          <w:sz w:val="20"/>
          <w:szCs w:val="20"/>
          <w:u w:val="single"/>
          <w:lang w:val="es-MX"/>
        </w:rPr>
        <w:t>V</w:t>
      </w:r>
      <w:r w:rsidR="00FD4464" w:rsidRPr="00AA11F0">
        <w:rPr>
          <w:rFonts w:ascii="Verdana" w:hAnsi="Verdana"/>
          <w:b/>
          <w:i/>
          <w:sz w:val="20"/>
          <w:szCs w:val="20"/>
          <w:u w:val="single"/>
          <w:lang w:val="es-MX"/>
        </w:rPr>
        <w:t>s</w:t>
      </w:r>
      <w:r w:rsidR="00FD4464" w:rsidRPr="00AA11F0">
        <w:rPr>
          <w:rFonts w:ascii="Verdana" w:hAnsi="Verdana"/>
          <w:b/>
          <w:sz w:val="20"/>
          <w:szCs w:val="20"/>
          <w:u w:val="single"/>
          <w:lang w:val="es-MX"/>
        </w:rPr>
        <w:t>. México: r</w:t>
      </w:r>
      <w:r w:rsidR="00675668" w:rsidRPr="00AA11F0">
        <w:rPr>
          <w:rFonts w:ascii="Verdana" w:hAnsi="Verdana"/>
          <w:b/>
          <w:sz w:val="20"/>
          <w:szCs w:val="20"/>
          <w:u w:val="single"/>
          <w:lang w:val="es-MX"/>
        </w:rPr>
        <w:t xml:space="preserve">eparaciones pendientes de </w:t>
      </w:r>
      <w:r w:rsidR="00675668" w:rsidRPr="005F6BEE">
        <w:rPr>
          <w:rFonts w:ascii="Verdana" w:hAnsi="Verdana"/>
          <w:b/>
          <w:sz w:val="20"/>
          <w:szCs w:val="20"/>
          <w:u w:val="single"/>
          <w:lang w:val="es-MX"/>
        </w:rPr>
        <w:t xml:space="preserve">cumplimiento </w:t>
      </w:r>
      <w:r w:rsidR="00675668" w:rsidRPr="005F6BEE">
        <w:rPr>
          <w:rFonts w:ascii="Verdana" w:hAnsi="Verdana"/>
          <w:sz w:val="20"/>
          <w:szCs w:val="20"/>
          <w:u w:val="single"/>
          <w:lang w:val="es-MX"/>
        </w:rPr>
        <w:t xml:space="preserve"> </w:t>
      </w:r>
    </w:p>
    <w:p w14:paraId="60EFFECF" w14:textId="77777777" w:rsidR="00C962CE" w:rsidRPr="005F6BEE" w:rsidRDefault="00C962CE" w:rsidP="00C962CE">
      <w:pPr>
        <w:spacing w:after="0"/>
        <w:jc w:val="center"/>
        <w:rPr>
          <w:rFonts w:ascii="Verdana" w:hAnsi="Verdana"/>
          <w:sz w:val="20"/>
          <w:szCs w:val="20"/>
          <w:u w:val="single"/>
          <w:lang w:val="es-MX"/>
        </w:rPr>
      </w:pPr>
    </w:p>
    <w:p w14:paraId="18760FFF" w14:textId="795EF7A7" w:rsidR="00F624E2" w:rsidRPr="005F6BEE" w:rsidRDefault="00F624E2" w:rsidP="005F6BEE">
      <w:pPr>
        <w:pStyle w:val="Prrafodelista"/>
        <w:numPr>
          <w:ilvl w:val="0"/>
          <w:numId w:val="7"/>
        </w:numPr>
        <w:tabs>
          <w:tab w:val="left" w:pos="709"/>
        </w:tabs>
        <w:spacing w:after="0" w:line="240" w:lineRule="auto"/>
        <w:ind w:left="0" w:right="4" w:firstLine="0"/>
        <w:jc w:val="both"/>
        <w:rPr>
          <w:rFonts w:ascii="Verdana" w:hAnsi="Verdana"/>
          <w:sz w:val="20"/>
          <w:szCs w:val="20"/>
          <w:lang w:val="es-CR"/>
        </w:rPr>
      </w:pPr>
      <w:r w:rsidRPr="005F6BEE">
        <w:rPr>
          <w:rFonts w:ascii="Verdana" w:hAnsi="Verdana"/>
          <w:sz w:val="20"/>
          <w:szCs w:val="20"/>
          <w:lang w:val="es-CR"/>
        </w:rPr>
        <w:t xml:space="preserve">El Estado concluirá los procedimientos penales en los términos de los párrafos 283 y 284. </w:t>
      </w:r>
    </w:p>
    <w:p w14:paraId="1C0ADC73" w14:textId="77777777" w:rsidR="00F624E2" w:rsidRPr="005F6BEE" w:rsidRDefault="00F624E2" w:rsidP="005F6BEE">
      <w:pPr>
        <w:pStyle w:val="Prrafodelista"/>
        <w:tabs>
          <w:tab w:val="left" w:pos="709"/>
        </w:tabs>
        <w:spacing w:after="0" w:line="240" w:lineRule="auto"/>
        <w:ind w:left="0" w:right="4"/>
        <w:jc w:val="both"/>
        <w:rPr>
          <w:rFonts w:ascii="Verdana" w:hAnsi="Verdana"/>
          <w:sz w:val="20"/>
          <w:szCs w:val="20"/>
          <w:lang w:val="es-CR"/>
        </w:rPr>
      </w:pPr>
    </w:p>
    <w:p w14:paraId="170D520C" w14:textId="77777777" w:rsidR="00F624E2" w:rsidRPr="005F6BEE" w:rsidRDefault="00F624E2" w:rsidP="005F6BEE">
      <w:pPr>
        <w:pStyle w:val="Prrafodelista"/>
        <w:numPr>
          <w:ilvl w:val="0"/>
          <w:numId w:val="7"/>
        </w:numPr>
        <w:tabs>
          <w:tab w:val="left" w:pos="709"/>
        </w:tabs>
        <w:spacing w:after="0" w:line="240" w:lineRule="auto"/>
        <w:ind w:left="0" w:right="4" w:firstLine="0"/>
        <w:jc w:val="both"/>
        <w:rPr>
          <w:rFonts w:ascii="Verdana" w:hAnsi="Verdana"/>
          <w:sz w:val="20"/>
          <w:szCs w:val="20"/>
          <w:lang w:val="es-CR"/>
        </w:rPr>
      </w:pPr>
      <w:r w:rsidRPr="005F6BEE">
        <w:rPr>
          <w:rFonts w:ascii="Verdana" w:hAnsi="Verdana"/>
          <w:sz w:val="20"/>
          <w:szCs w:val="20"/>
          <w:lang w:val="es-CR"/>
        </w:rPr>
        <w:t xml:space="preserve">El Estado revisará la pertinencia de mantener las medidas cautelares y excluirá todos los antecedentes incriminatorios que fueron obtenidos bajo coacción o tortura en todos los actos procesales en los términos del párrafo 285. </w:t>
      </w:r>
    </w:p>
    <w:p w14:paraId="3494F98B" w14:textId="77777777" w:rsidR="00F624E2" w:rsidRPr="005F6BEE" w:rsidRDefault="00F624E2" w:rsidP="005F6BEE">
      <w:pPr>
        <w:pStyle w:val="Prrafodelista"/>
        <w:tabs>
          <w:tab w:val="left" w:pos="709"/>
        </w:tabs>
        <w:spacing w:after="0" w:line="240" w:lineRule="auto"/>
        <w:ind w:left="0" w:right="4"/>
        <w:jc w:val="both"/>
        <w:rPr>
          <w:rFonts w:ascii="Verdana" w:hAnsi="Verdana"/>
          <w:sz w:val="20"/>
          <w:szCs w:val="20"/>
          <w:lang w:val="es-CR"/>
        </w:rPr>
      </w:pPr>
    </w:p>
    <w:p w14:paraId="69DBA110" w14:textId="77777777" w:rsidR="00F624E2" w:rsidRPr="005F6BEE" w:rsidRDefault="00F624E2" w:rsidP="005F6BEE">
      <w:pPr>
        <w:pStyle w:val="Prrafodelista"/>
        <w:numPr>
          <w:ilvl w:val="0"/>
          <w:numId w:val="7"/>
        </w:numPr>
        <w:tabs>
          <w:tab w:val="left" w:pos="709"/>
        </w:tabs>
        <w:spacing w:after="0" w:line="240" w:lineRule="auto"/>
        <w:ind w:left="0" w:right="4" w:firstLine="0"/>
        <w:jc w:val="both"/>
        <w:rPr>
          <w:rFonts w:ascii="Verdana" w:hAnsi="Verdana"/>
          <w:sz w:val="20"/>
          <w:szCs w:val="20"/>
          <w:lang w:val="es-CR"/>
        </w:rPr>
      </w:pPr>
      <w:r w:rsidRPr="005F6BEE">
        <w:rPr>
          <w:rFonts w:ascii="Verdana" w:hAnsi="Verdana"/>
          <w:sz w:val="20"/>
          <w:szCs w:val="20"/>
          <w:lang w:val="es-CR"/>
        </w:rPr>
        <w:t xml:space="preserve">El Estado desarrollará las investigaciones previstas en los párrafos 286 a 288. </w:t>
      </w:r>
    </w:p>
    <w:p w14:paraId="1812A4EB" w14:textId="77777777" w:rsidR="00F624E2" w:rsidRPr="005F6BEE" w:rsidRDefault="00F624E2" w:rsidP="005F6BEE">
      <w:pPr>
        <w:pStyle w:val="Prrafodelista"/>
        <w:tabs>
          <w:tab w:val="left" w:pos="709"/>
        </w:tabs>
        <w:spacing w:after="0" w:line="240" w:lineRule="auto"/>
        <w:ind w:left="0" w:right="4"/>
        <w:jc w:val="both"/>
        <w:rPr>
          <w:rFonts w:ascii="Verdana" w:hAnsi="Verdana"/>
          <w:sz w:val="20"/>
          <w:szCs w:val="20"/>
          <w:lang w:val="es-CR"/>
        </w:rPr>
      </w:pPr>
    </w:p>
    <w:p w14:paraId="5BEF0612" w14:textId="29BECEDC" w:rsidR="004B1F0C" w:rsidRPr="005F6BEE" w:rsidRDefault="00F624E2" w:rsidP="005F6BEE">
      <w:pPr>
        <w:pStyle w:val="Prrafodelista"/>
        <w:numPr>
          <w:ilvl w:val="0"/>
          <w:numId w:val="7"/>
        </w:numPr>
        <w:tabs>
          <w:tab w:val="left" w:pos="709"/>
        </w:tabs>
        <w:spacing w:after="0" w:line="240" w:lineRule="auto"/>
        <w:ind w:left="0" w:right="4" w:firstLine="0"/>
        <w:jc w:val="both"/>
        <w:rPr>
          <w:rFonts w:ascii="Verdana" w:hAnsi="Verdana"/>
          <w:sz w:val="20"/>
          <w:szCs w:val="20"/>
          <w:lang w:val="es-CR"/>
        </w:rPr>
      </w:pPr>
      <w:r w:rsidRPr="005F6BEE">
        <w:rPr>
          <w:rFonts w:ascii="Verdana" w:hAnsi="Verdana"/>
          <w:sz w:val="20"/>
          <w:szCs w:val="20"/>
          <w:lang w:val="es-CR"/>
        </w:rPr>
        <w:t>El Estado deberá dejar sin efecto en su ordenamiento interno las disposiciones relativas al arraigo de naturaleza pre – procesal, en los términos de los párrafos 292 a 294, 298 a 300, y 302 a 303.</w:t>
      </w:r>
    </w:p>
    <w:p w14:paraId="1D5E8423" w14:textId="77777777" w:rsidR="00F624E2" w:rsidRPr="005F6BEE" w:rsidRDefault="00F624E2" w:rsidP="005F6BEE">
      <w:pPr>
        <w:pStyle w:val="Prrafodelista"/>
        <w:tabs>
          <w:tab w:val="left" w:pos="709"/>
        </w:tabs>
        <w:spacing w:after="0" w:line="240" w:lineRule="auto"/>
        <w:ind w:left="0" w:right="4"/>
        <w:jc w:val="both"/>
        <w:rPr>
          <w:rFonts w:ascii="Verdana" w:hAnsi="Verdana"/>
          <w:sz w:val="20"/>
          <w:szCs w:val="20"/>
          <w:lang w:val="es-CR"/>
        </w:rPr>
      </w:pPr>
    </w:p>
    <w:p w14:paraId="27503819" w14:textId="637C8A82" w:rsidR="00C962CE" w:rsidRPr="005F6BEE" w:rsidRDefault="00F624E2" w:rsidP="005F6BEE">
      <w:pPr>
        <w:pStyle w:val="Prrafodelista"/>
        <w:numPr>
          <w:ilvl w:val="0"/>
          <w:numId w:val="7"/>
        </w:numPr>
        <w:tabs>
          <w:tab w:val="left" w:pos="709"/>
        </w:tabs>
        <w:spacing w:after="0" w:line="240" w:lineRule="auto"/>
        <w:ind w:left="0" w:right="4" w:firstLine="0"/>
        <w:jc w:val="both"/>
        <w:rPr>
          <w:rFonts w:ascii="Verdana" w:hAnsi="Verdana"/>
          <w:sz w:val="20"/>
          <w:szCs w:val="20"/>
          <w:lang w:val="es-CR"/>
        </w:rPr>
      </w:pPr>
      <w:r w:rsidRPr="005F6BEE">
        <w:rPr>
          <w:rFonts w:ascii="Verdana" w:hAnsi="Verdana"/>
          <w:sz w:val="20"/>
          <w:szCs w:val="20"/>
          <w:lang w:val="es-CR"/>
        </w:rPr>
        <w:t xml:space="preserve">El Estado deberá adecuar su ordenamiento jurídico interno sobre prisión preventiva oficiosa, en los términos de los párrafos 292 y 293, 295 a 299 y 301 a 303. </w:t>
      </w:r>
    </w:p>
    <w:p w14:paraId="4471F28C" w14:textId="77777777" w:rsidR="00C962CE" w:rsidRPr="005F6BEE" w:rsidRDefault="00C962CE" w:rsidP="005F6BEE">
      <w:pPr>
        <w:pStyle w:val="Prrafodelista"/>
        <w:tabs>
          <w:tab w:val="left" w:pos="709"/>
        </w:tabs>
        <w:spacing w:after="0" w:line="240" w:lineRule="auto"/>
        <w:ind w:left="0" w:right="4"/>
        <w:jc w:val="both"/>
        <w:rPr>
          <w:rFonts w:ascii="Verdana" w:hAnsi="Verdana"/>
          <w:sz w:val="20"/>
          <w:szCs w:val="20"/>
          <w:lang w:val="es-CR"/>
        </w:rPr>
      </w:pPr>
    </w:p>
    <w:p w14:paraId="6663F233" w14:textId="06386CDA" w:rsidR="00C962CE" w:rsidRPr="005F6BEE" w:rsidRDefault="00F624E2" w:rsidP="005F6BEE">
      <w:pPr>
        <w:pStyle w:val="Prrafodelista"/>
        <w:numPr>
          <w:ilvl w:val="0"/>
          <w:numId w:val="7"/>
        </w:numPr>
        <w:tabs>
          <w:tab w:val="left" w:pos="709"/>
        </w:tabs>
        <w:spacing w:after="0" w:line="240" w:lineRule="auto"/>
        <w:ind w:left="0" w:right="4" w:firstLine="0"/>
        <w:jc w:val="both"/>
        <w:rPr>
          <w:rFonts w:ascii="Verdana" w:hAnsi="Verdana"/>
          <w:sz w:val="20"/>
          <w:szCs w:val="20"/>
          <w:lang w:val="es-CR"/>
        </w:rPr>
      </w:pPr>
      <w:r w:rsidRPr="005F6BEE">
        <w:rPr>
          <w:rFonts w:ascii="Verdana" w:hAnsi="Verdana"/>
          <w:sz w:val="20"/>
          <w:szCs w:val="20"/>
          <w:lang w:val="es-CR"/>
        </w:rPr>
        <w:t xml:space="preserve">El Estado implementará un programa de capacitaciones, en los términos del 306. </w:t>
      </w:r>
    </w:p>
    <w:p w14:paraId="39A5A156" w14:textId="77777777" w:rsidR="00C962CE" w:rsidRPr="005F6BEE" w:rsidRDefault="00C962CE" w:rsidP="005F6BEE">
      <w:pPr>
        <w:pStyle w:val="Prrafodelista"/>
        <w:tabs>
          <w:tab w:val="left" w:pos="709"/>
        </w:tabs>
        <w:spacing w:after="0" w:line="240" w:lineRule="auto"/>
        <w:ind w:left="0" w:right="4"/>
        <w:jc w:val="both"/>
        <w:rPr>
          <w:rFonts w:ascii="Verdana" w:hAnsi="Verdana"/>
          <w:sz w:val="20"/>
          <w:szCs w:val="20"/>
          <w:lang w:val="es-CR"/>
        </w:rPr>
      </w:pPr>
    </w:p>
    <w:p w14:paraId="79A99119" w14:textId="1B1E6224" w:rsidR="00C962CE" w:rsidRPr="005F6BEE" w:rsidRDefault="00F624E2" w:rsidP="005F6BEE">
      <w:pPr>
        <w:pStyle w:val="Prrafodelista"/>
        <w:numPr>
          <w:ilvl w:val="0"/>
          <w:numId w:val="7"/>
        </w:numPr>
        <w:tabs>
          <w:tab w:val="left" w:pos="709"/>
        </w:tabs>
        <w:spacing w:after="0" w:line="240" w:lineRule="auto"/>
        <w:ind w:left="0" w:right="4" w:firstLine="0"/>
        <w:jc w:val="both"/>
        <w:rPr>
          <w:rFonts w:ascii="Verdana" w:hAnsi="Verdana"/>
          <w:sz w:val="20"/>
          <w:szCs w:val="20"/>
          <w:lang w:val="es-CR"/>
        </w:rPr>
      </w:pPr>
      <w:r w:rsidRPr="005F6BEE">
        <w:rPr>
          <w:rFonts w:ascii="Verdana" w:hAnsi="Verdana"/>
          <w:sz w:val="20"/>
          <w:szCs w:val="20"/>
          <w:lang w:val="es-CR"/>
        </w:rPr>
        <w:t xml:space="preserve">El Estado brindará de forma adecuada, preferencial y gratuita, el tratamiento médico, psicológico o psiquiátrico, según corresponda, de conformidad con lo establecido en los párrafos 312 a 314. </w:t>
      </w:r>
    </w:p>
    <w:p w14:paraId="47018752" w14:textId="77777777" w:rsidR="00C962CE" w:rsidRDefault="00C962CE" w:rsidP="005F6BEE">
      <w:pPr>
        <w:pStyle w:val="Prrafodelista"/>
        <w:tabs>
          <w:tab w:val="left" w:pos="709"/>
        </w:tabs>
        <w:spacing w:after="0" w:line="240" w:lineRule="auto"/>
        <w:ind w:left="0" w:right="720"/>
        <w:jc w:val="both"/>
        <w:rPr>
          <w:lang w:val="es-CR"/>
        </w:rPr>
      </w:pPr>
    </w:p>
    <w:p w14:paraId="6FF52C99" w14:textId="77777777" w:rsidR="00AB4D64" w:rsidRPr="00AD6DAD" w:rsidRDefault="00AB4D64" w:rsidP="00AB4D64">
      <w:pPr>
        <w:jc w:val="both"/>
        <w:rPr>
          <w:rFonts w:ascii="Verdana" w:hAnsi="Verdana"/>
          <w:b/>
          <w:bCs/>
          <w:sz w:val="20"/>
          <w:szCs w:val="28"/>
        </w:rPr>
      </w:pPr>
      <w:proofErr w:type="spellStart"/>
      <w:r w:rsidRPr="00AD6DAD">
        <w:rPr>
          <w:rFonts w:ascii="Verdana" w:hAnsi="Verdana"/>
          <w:b/>
          <w:bCs/>
          <w:sz w:val="20"/>
          <w:szCs w:val="28"/>
        </w:rPr>
        <w:t>Cumplimiento</w:t>
      </w:r>
      <w:proofErr w:type="spellEnd"/>
      <w:r w:rsidRPr="00AD6DAD">
        <w:rPr>
          <w:rFonts w:ascii="Verdana" w:hAnsi="Verdana"/>
          <w:b/>
          <w:bCs/>
          <w:sz w:val="20"/>
          <w:szCs w:val="28"/>
        </w:rPr>
        <w:t xml:space="preserve"> </w:t>
      </w:r>
      <w:proofErr w:type="spellStart"/>
      <w:r w:rsidRPr="00AD6DAD">
        <w:rPr>
          <w:rFonts w:ascii="Verdana" w:hAnsi="Verdana"/>
          <w:b/>
          <w:bCs/>
          <w:sz w:val="20"/>
          <w:szCs w:val="28"/>
        </w:rPr>
        <w:t>parcial</w:t>
      </w:r>
      <w:proofErr w:type="spellEnd"/>
      <w:r w:rsidRPr="00AD6DAD">
        <w:rPr>
          <w:rFonts w:ascii="Verdana" w:hAnsi="Verdana"/>
          <w:b/>
          <w:bCs/>
          <w:sz w:val="20"/>
          <w:szCs w:val="28"/>
        </w:rPr>
        <w:t>:</w:t>
      </w:r>
    </w:p>
    <w:p w14:paraId="2BBCCA51" w14:textId="77777777" w:rsidR="00AB4D64" w:rsidRPr="005F6BEE" w:rsidRDefault="00AB4D64" w:rsidP="00AB4D64">
      <w:pPr>
        <w:pStyle w:val="Prrafodelista"/>
        <w:numPr>
          <w:ilvl w:val="0"/>
          <w:numId w:val="7"/>
        </w:numPr>
        <w:tabs>
          <w:tab w:val="left" w:pos="709"/>
        </w:tabs>
        <w:spacing w:after="0" w:line="240" w:lineRule="auto"/>
        <w:ind w:left="0" w:right="4" w:firstLine="0"/>
        <w:jc w:val="both"/>
        <w:rPr>
          <w:rFonts w:ascii="Verdana" w:hAnsi="Verdana"/>
          <w:sz w:val="20"/>
          <w:szCs w:val="20"/>
          <w:lang w:val="es-CR"/>
        </w:rPr>
      </w:pPr>
      <w:r w:rsidRPr="005F6BEE">
        <w:rPr>
          <w:rFonts w:ascii="Verdana" w:hAnsi="Verdana"/>
          <w:sz w:val="20"/>
          <w:szCs w:val="20"/>
          <w:lang w:val="es-CR"/>
        </w:rPr>
        <w:t xml:space="preserve">El Estado realizará las publicaciones indicadas en el párrafo 309 de </w:t>
      </w:r>
      <w:r>
        <w:rPr>
          <w:rFonts w:ascii="Verdana" w:hAnsi="Verdana"/>
          <w:sz w:val="20"/>
          <w:szCs w:val="20"/>
          <w:lang w:val="es-CR"/>
        </w:rPr>
        <w:t>la</w:t>
      </w:r>
      <w:r w:rsidRPr="005F6BEE">
        <w:rPr>
          <w:rFonts w:ascii="Verdana" w:hAnsi="Verdana"/>
          <w:sz w:val="20"/>
          <w:szCs w:val="20"/>
          <w:lang w:val="es-CR"/>
        </w:rPr>
        <w:t xml:space="preserve"> Sentencia, en el plazo de seis meses contados a partir de la notificación de </w:t>
      </w:r>
      <w:proofErr w:type="gramStart"/>
      <w:r w:rsidRPr="005F6BEE">
        <w:rPr>
          <w:rFonts w:ascii="Verdana" w:hAnsi="Verdana"/>
          <w:sz w:val="20"/>
          <w:szCs w:val="20"/>
          <w:lang w:val="es-CR"/>
        </w:rPr>
        <w:t>la misma</w:t>
      </w:r>
      <w:proofErr w:type="gramEnd"/>
      <w:r w:rsidRPr="005F6BEE">
        <w:rPr>
          <w:rFonts w:ascii="Verdana" w:hAnsi="Verdana"/>
          <w:sz w:val="20"/>
          <w:szCs w:val="20"/>
          <w:lang w:val="es-CR"/>
        </w:rPr>
        <w:t>.</w:t>
      </w:r>
    </w:p>
    <w:p w14:paraId="04AA4C16" w14:textId="77777777" w:rsidR="00AB4D64" w:rsidRPr="00AD6DAD" w:rsidRDefault="00AB4D64" w:rsidP="00AB4D64">
      <w:pPr>
        <w:pStyle w:val="Prrafodelista"/>
        <w:spacing w:after="0" w:line="240" w:lineRule="auto"/>
        <w:ind w:left="0"/>
        <w:jc w:val="both"/>
        <w:rPr>
          <w:rFonts w:ascii="Verdana" w:hAnsi="Verdana"/>
          <w:sz w:val="20"/>
          <w:szCs w:val="28"/>
          <w:lang w:val="es-CR"/>
        </w:rPr>
      </w:pPr>
    </w:p>
    <w:p w14:paraId="1435A67C" w14:textId="77777777" w:rsidR="00AB4D64" w:rsidRPr="00AD6DAD" w:rsidRDefault="00AB4D64" w:rsidP="00AB4D64">
      <w:pPr>
        <w:tabs>
          <w:tab w:val="left" w:pos="720"/>
        </w:tabs>
        <w:ind w:right="4"/>
        <w:jc w:val="both"/>
        <w:rPr>
          <w:rFonts w:ascii="Verdana" w:eastAsia="Cambria" w:hAnsi="Verdana" w:cs="Times New Roman"/>
          <w:bCs/>
          <w:sz w:val="20"/>
          <w:szCs w:val="20"/>
          <w:lang w:val="es-ES"/>
        </w:rPr>
      </w:pPr>
      <w:r w:rsidRPr="00AD6DAD">
        <w:rPr>
          <w:rFonts w:ascii="Verdana" w:eastAsia="Cambria" w:hAnsi="Verdana" w:cs="Times New Roman"/>
          <w:bCs/>
          <w:sz w:val="20"/>
          <w:szCs w:val="20"/>
          <w:lang w:val="es-ES"/>
        </w:rPr>
        <w:t>En l</w:t>
      </w:r>
      <w:r>
        <w:rPr>
          <w:rFonts w:ascii="Verdana" w:eastAsia="Cambria" w:hAnsi="Verdana" w:cs="Times New Roman"/>
          <w:bCs/>
          <w:sz w:val="20"/>
          <w:szCs w:val="20"/>
          <w:lang w:val="es-ES"/>
        </w:rPr>
        <w:t>os</w:t>
      </w:r>
      <w:r w:rsidRPr="00AD6DAD">
        <w:rPr>
          <w:rFonts w:ascii="Verdana" w:eastAsia="Cambria" w:hAnsi="Verdana" w:cs="Times New Roman"/>
          <w:bCs/>
          <w:sz w:val="20"/>
          <w:szCs w:val="20"/>
          <w:lang w:val="es-ES"/>
        </w:rPr>
        <w:t xml:space="preserve"> Considerando</w:t>
      </w:r>
      <w:r>
        <w:rPr>
          <w:rFonts w:ascii="Verdana" w:eastAsia="Cambria" w:hAnsi="Verdana" w:cs="Times New Roman"/>
          <w:bCs/>
          <w:sz w:val="20"/>
          <w:szCs w:val="20"/>
          <w:lang w:val="es-ES"/>
        </w:rPr>
        <w:t>s</w:t>
      </w:r>
      <w:r w:rsidRPr="00AD6DAD">
        <w:rPr>
          <w:rFonts w:ascii="Verdana" w:eastAsia="Cambria" w:hAnsi="Verdana" w:cs="Times New Roman"/>
          <w:bCs/>
          <w:sz w:val="20"/>
          <w:szCs w:val="20"/>
          <w:lang w:val="es-ES"/>
        </w:rPr>
        <w:t xml:space="preserve"> 2 </w:t>
      </w:r>
      <w:r>
        <w:rPr>
          <w:rFonts w:ascii="Verdana" w:eastAsia="Cambria" w:hAnsi="Verdana" w:cs="Times New Roman"/>
          <w:bCs/>
          <w:sz w:val="20"/>
          <w:szCs w:val="20"/>
          <w:lang w:val="es-ES"/>
        </w:rPr>
        <w:t xml:space="preserve">y 3 </w:t>
      </w:r>
      <w:r w:rsidRPr="00AD6DAD">
        <w:rPr>
          <w:rFonts w:ascii="Verdana" w:eastAsia="Cambria" w:hAnsi="Verdana" w:cs="Times New Roman"/>
          <w:bCs/>
          <w:sz w:val="20"/>
          <w:szCs w:val="20"/>
          <w:lang w:val="es-ES"/>
        </w:rPr>
        <w:t>de la Resolución de 26 de noviembre de 2024, se explica lo que continúa pendiente de cumplimiento respecto a la presente medida de reparación:</w:t>
      </w:r>
    </w:p>
    <w:p w14:paraId="6940A941" w14:textId="77777777" w:rsidR="00AB4D64" w:rsidRPr="00374650" w:rsidRDefault="00AB4D64" w:rsidP="00AB4D64">
      <w:pPr>
        <w:pStyle w:val="Prrafodelista"/>
        <w:tabs>
          <w:tab w:val="left" w:pos="709"/>
        </w:tabs>
        <w:spacing w:after="0" w:line="240" w:lineRule="auto"/>
        <w:ind w:left="709" w:right="996"/>
        <w:jc w:val="both"/>
        <w:rPr>
          <w:rFonts w:ascii="Verdana" w:hAnsi="Verdana"/>
          <w:sz w:val="18"/>
          <w:szCs w:val="18"/>
          <w:lang w:val="es-CR"/>
        </w:rPr>
      </w:pPr>
      <w:r w:rsidRPr="00374650">
        <w:rPr>
          <w:rFonts w:ascii="Verdana" w:hAnsi="Verdana"/>
          <w:sz w:val="18"/>
          <w:szCs w:val="18"/>
          <w:lang w:val="es-CR"/>
        </w:rPr>
        <w:t xml:space="preserve">2. Con base en la información aportada por el Estado y lo observado por los representantes4, la Corte constata que México cumplió con publicar: a) el resumen oficial del Fallo en el diario de amplia circulación nacional “Diario Reforma”, y b) la Sentencia en su integridad en “un sitio web oficial del Gobierno del Estado de México”, por el plazo de un año. Este Tribunal valora positivamente que ambas publicaciones se realizaron dentro del plazo de seis meses otorgado en la Sentencia. Asimismo, la Corte valora que, adicionalmente a las medidas ordenadas en el Fallo, el Estado publicó el texto íntegro de la Sentencia en el Periódico Oficial de la Gaceta de Gobierno del estado de México, así como en el sitio web oficial de la Secretaría de la Gobernación (SEGOB). </w:t>
      </w:r>
    </w:p>
    <w:p w14:paraId="70AA0404" w14:textId="77777777" w:rsidR="00AB4D64" w:rsidRPr="00374650" w:rsidRDefault="00AB4D64" w:rsidP="00AB4D64">
      <w:pPr>
        <w:pStyle w:val="Prrafodelista"/>
        <w:tabs>
          <w:tab w:val="left" w:pos="709"/>
        </w:tabs>
        <w:spacing w:after="0" w:line="240" w:lineRule="auto"/>
        <w:ind w:left="709" w:right="720"/>
        <w:jc w:val="both"/>
        <w:rPr>
          <w:rFonts w:ascii="Verdana" w:hAnsi="Verdana"/>
          <w:sz w:val="18"/>
          <w:szCs w:val="18"/>
          <w:lang w:val="es-CR"/>
        </w:rPr>
      </w:pPr>
    </w:p>
    <w:p w14:paraId="456912C0" w14:textId="77777777" w:rsidR="00AB4D64" w:rsidRPr="00374650" w:rsidRDefault="00AB4D64" w:rsidP="00AB4D64">
      <w:pPr>
        <w:pStyle w:val="Prrafodelista"/>
        <w:tabs>
          <w:tab w:val="left" w:pos="709"/>
          <w:tab w:val="left" w:pos="8364"/>
        </w:tabs>
        <w:spacing w:after="0" w:line="240" w:lineRule="auto"/>
        <w:ind w:left="709" w:right="996"/>
        <w:jc w:val="both"/>
        <w:rPr>
          <w:rFonts w:ascii="Verdana" w:hAnsi="Verdana"/>
          <w:sz w:val="18"/>
          <w:szCs w:val="18"/>
          <w:lang w:val="es-CR"/>
        </w:rPr>
      </w:pPr>
      <w:r w:rsidRPr="00374650">
        <w:rPr>
          <w:rFonts w:ascii="Verdana" w:hAnsi="Verdana"/>
          <w:sz w:val="18"/>
          <w:szCs w:val="18"/>
          <w:lang w:val="es-CR"/>
        </w:rPr>
        <w:t xml:space="preserve">3. En consecuencia, la Corte considera que el Estado ha dado cumplimiento parcial a las medidas de publicación y difusión de la Sentencia y su resumen oficial, ordenadas en el punto resolutivo décimo sexto y el párrafo 309 del Fallo, quedando únicamente pendiente la publicación del resumen oficial del Fallo, por una sola vez, en el Diario Oficial de la Federación. Tomando en consideración que el plazo para la ejecución de </w:t>
      </w:r>
      <w:r w:rsidRPr="00374650">
        <w:rPr>
          <w:rFonts w:ascii="Verdana" w:hAnsi="Verdana"/>
          <w:sz w:val="18"/>
          <w:szCs w:val="18"/>
          <w:lang w:val="es-CR"/>
        </w:rPr>
        <w:lastRenderedPageBreak/>
        <w:t>esta medida venció el 13 de octubre de 2023, el Tribunal requiere al Estado darle pronto cumplimiento e informar al respecto.</w:t>
      </w:r>
    </w:p>
    <w:p w14:paraId="6D0EE85D" w14:textId="77777777" w:rsidR="00AB4D64" w:rsidRPr="005F6BEE" w:rsidRDefault="00AB4D64" w:rsidP="005F6BEE">
      <w:pPr>
        <w:pStyle w:val="Prrafodelista"/>
        <w:tabs>
          <w:tab w:val="left" w:pos="709"/>
        </w:tabs>
        <w:spacing w:after="0" w:line="240" w:lineRule="auto"/>
        <w:ind w:left="0" w:right="720"/>
        <w:jc w:val="both"/>
        <w:rPr>
          <w:lang w:val="es-CR"/>
        </w:rPr>
      </w:pPr>
    </w:p>
    <w:sectPr w:rsidR="00AB4D64" w:rsidRPr="005F6BEE" w:rsidSect="005F6BEE">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618410" w14:textId="77777777" w:rsidR="00747007" w:rsidRDefault="00747007" w:rsidP="005337F1">
      <w:pPr>
        <w:spacing w:after="0" w:line="240" w:lineRule="auto"/>
      </w:pPr>
      <w:r>
        <w:separator/>
      </w:r>
    </w:p>
  </w:endnote>
  <w:endnote w:type="continuationSeparator" w:id="0">
    <w:p w14:paraId="193F68A7" w14:textId="77777777" w:rsidR="00747007" w:rsidRDefault="00747007" w:rsidP="005337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0DE2A9" w14:textId="77777777" w:rsidR="005337F1" w:rsidRPr="005337F1" w:rsidRDefault="005337F1" w:rsidP="005337F1">
    <w:pPr>
      <w:jc w:val="both"/>
      <w:rPr>
        <w:rFonts w:ascii="Verdana" w:hAnsi="Verdana"/>
        <w:bCs/>
        <w:sz w:val="16"/>
        <w:szCs w:val="16"/>
        <w:lang w:val="es-MX"/>
      </w:rPr>
    </w:pPr>
    <w:r w:rsidRPr="005337F1">
      <w:rPr>
        <w:rFonts w:ascii="Verdana" w:hAnsi="Verdana"/>
        <w:bCs/>
        <w:sz w:val="16"/>
        <w:szCs w:val="16"/>
        <w:lang w:val="es-MX"/>
      </w:rPr>
      <w:t>La presente sistematización de información fue realizada 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p w14:paraId="31BD6000" w14:textId="77777777" w:rsidR="005337F1" w:rsidRPr="005337F1" w:rsidRDefault="005337F1" w:rsidP="005337F1">
    <w:pPr>
      <w:pStyle w:val="Piedepgina"/>
      <w:rPr>
        <w:lang w:val="es-MX"/>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39DF39" w14:textId="77777777" w:rsidR="00747007" w:rsidRDefault="00747007" w:rsidP="005337F1">
      <w:pPr>
        <w:spacing w:after="0" w:line="240" w:lineRule="auto"/>
      </w:pPr>
      <w:r>
        <w:separator/>
      </w:r>
    </w:p>
  </w:footnote>
  <w:footnote w:type="continuationSeparator" w:id="0">
    <w:p w14:paraId="03A7F306" w14:textId="77777777" w:rsidR="00747007" w:rsidRDefault="00747007" w:rsidP="005337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32307947"/>
      <w:docPartObj>
        <w:docPartGallery w:val="Page Numbers (Top of Page)"/>
        <w:docPartUnique/>
      </w:docPartObj>
    </w:sdtPr>
    <w:sdtEndPr>
      <w:rPr>
        <w:rFonts w:ascii="Verdana" w:hAnsi="Verdana"/>
        <w:noProof/>
        <w:sz w:val="20"/>
        <w:szCs w:val="20"/>
      </w:rPr>
    </w:sdtEndPr>
    <w:sdtContent>
      <w:p w14:paraId="462125CF" w14:textId="77777777" w:rsidR="005337F1" w:rsidRPr="005337F1" w:rsidRDefault="005337F1">
        <w:pPr>
          <w:pStyle w:val="Encabezado"/>
          <w:jc w:val="right"/>
          <w:rPr>
            <w:rFonts w:ascii="Verdana" w:hAnsi="Verdana"/>
            <w:sz w:val="20"/>
            <w:szCs w:val="20"/>
          </w:rPr>
        </w:pPr>
        <w:r w:rsidRPr="005337F1">
          <w:rPr>
            <w:rFonts w:ascii="Verdana" w:hAnsi="Verdana"/>
            <w:sz w:val="20"/>
            <w:szCs w:val="20"/>
          </w:rPr>
          <w:fldChar w:fldCharType="begin"/>
        </w:r>
        <w:r w:rsidRPr="005337F1">
          <w:rPr>
            <w:rFonts w:ascii="Verdana" w:hAnsi="Verdana"/>
            <w:sz w:val="20"/>
            <w:szCs w:val="20"/>
          </w:rPr>
          <w:instrText xml:space="preserve"> PAGE   \* MERGEFORMAT </w:instrText>
        </w:r>
        <w:r w:rsidRPr="005337F1">
          <w:rPr>
            <w:rFonts w:ascii="Verdana" w:hAnsi="Verdana"/>
            <w:sz w:val="20"/>
            <w:szCs w:val="20"/>
          </w:rPr>
          <w:fldChar w:fldCharType="separate"/>
        </w:r>
        <w:r w:rsidR="002351F0">
          <w:rPr>
            <w:rFonts w:ascii="Verdana" w:hAnsi="Verdana"/>
            <w:noProof/>
            <w:sz w:val="20"/>
            <w:szCs w:val="20"/>
          </w:rPr>
          <w:t>1</w:t>
        </w:r>
        <w:r w:rsidRPr="005337F1">
          <w:rPr>
            <w:rFonts w:ascii="Verdana" w:hAnsi="Verdana"/>
            <w:noProof/>
            <w:sz w:val="20"/>
            <w:szCs w:val="20"/>
          </w:rPr>
          <w:fldChar w:fldCharType="end"/>
        </w:r>
      </w:p>
    </w:sdtContent>
  </w:sdt>
  <w:p w14:paraId="00B44D58" w14:textId="77777777" w:rsidR="005337F1" w:rsidRDefault="005337F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B14DE0"/>
    <w:multiLevelType w:val="hybridMultilevel"/>
    <w:tmpl w:val="81FC36FC"/>
    <w:lvl w:ilvl="0" w:tplc="04090005">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5157BC3"/>
    <w:multiLevelType w:val="hybridMultilevel"/>
    <w:tmpl w:val="920A31CE"/>
    <w:lvl w:ilvl="0" w:tplc="04090005">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A430390"/>
    <w:multiLevelType w:val="hybridMultilevel"/>
    <w:tmpl w:val="B9963A04"/>
    <w:lvl w:ilvl="0" w:tplc="04090005">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3FA27A91"/>
    <w:multiLevelType w:val="hybridMultilevel"/>
    <w:tmpl w:val="B39AC4FA"/>
    <w:lvl w:ilvl="0" w:tplc="04090005">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CED64AD"/>
    <w:multiLevelType w:val="hybridMultilevel"/>
    <w:tmpl w:val="A04E749E"/>
    <w:lvl w:ilvl="0" w:tplc="33440428">
      <w:start w:val="1"/>
      <w:numFmt w:val="lowerRoman"/>
      <w:lvlText w:val="%1."/>
      <w:lvlJc w:val="right"/>
      <w:pPr>
        <w:ind w:left="1440" w:hanging="360"/>
      </w:pPr>
      <w:rPr>
        <w:i w:val="0"/>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5ED84337"/>
    <w:multiLevelType w:val="hybridMultilevel"/>
    <w:tmpl w:val="BC1E75B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60D17D63"/>
    <w:multiLevelType w:val="hybridMultilevel"/>
    <w:tmpl w:val="789443C4"/>
    <w:lvl w:ilvl="0" w:tplc="4C467F06">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44119986">
    <w:abstractNumId w:val="6"/>
  </w:num>
  <w:num w:numId="2" w16cid:durableId="1722286404">
    <w:abstractNumId w:val="4"/>
  </w:num>
  <w:num w:numId="3" w16cid:durableId="1459104314">
    <w:abstractNumId w:val="2"/>
  </w:num>
  <w:num w:numId="4" w16cid:durableId="1312905171">
    <w:abstractNumId w:val="1"/>
  </w:num>
  <w:num w:numId="5" w16cid:durableId="906695613">
    <w:abstractNumId w:val="0"/>
  </w:num>
  <w:num w:numId="6" w16cid:durableId="1696072529">
    <w:abstractNumId w:val="3"/>
  </w:num>
  <w:num w:numId="7" w16cid:durableId="146238456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5668"/>
    <w:rsid w:val="0016329A"/>
    <w:rsid w:val="001C4F77"/>
    <w:rsid w:val="001F1711"/>
    <w:rsid w:val="002351F0"/>
    <w:rsid w:val="00367878"/>
    <w:rsid w:val="003A7E5E"/>
    <w:rsid w:val="003C7602"/>
    <w:rsid w:val="004B1F0C"/>
    <w:rsid w:val="005337F1"/>
    <w:rsid w:val="005E5677"/>
    <w:rsid w:val="005E61F7"/>
    <w:rsid w:val="005F6BEE"/>
    <w:rsid w:val="006339DD"/>
    <w:rsid w:val="00675668"/>
    <w:rsid w:val="00747007"/>
    <w:rsid w:val="00777E47"/>
    <w:rsid w:val="00780952"/>
    <w:rsid w:val="007B4283"/>
    <w:rsid w:val="007C20E8"/>
    <w:rsid w:val="0081600C"/>
    <w:rsid w:val="009455F8"/>
    <w:rsid w:val="009832C0"/>
    <w:rsid w:val="009F13A0"/>
    <w:rsid w:val="00A809DA"/>
    <w:rsid w:val="00AA11F0"/>
    <w:rsid w:val="00AB4D64"/>
    <w:rsid w:val="00AE4895"/>
    <w:rsid w:val="00BE6EB9"/>
    <w:rsid w:val="00C16ED8"/>
    <w:rsid w:val="00C962CE"/>
    <w:rsid w:val="00DA3019"/>
    <w:rsid w:val="00DE2F49"/>
    <w:rsid w:val="00E1597E"/>
    <w:rsid w:val="00E454E4"/>
    <w:rsid w:val="00F624E2"/>
    <w:rsid w:val="00FA2065"/>
    <w:rsid w:val="00FD44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47E08"/>
  <w15:docId w15:val="{FA25FF99-2220-4F1E-91A9-B839BF2CA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566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Footnote,List Paragraph1,Colorful List - Accent 11,Párrafo de lista1,List Paragraph2,Lista vistosa - Énfasis 11"/>
    <w:basedOn w:val="Normal"/>
    <w:link w:val="PrrafodelistaCar"/>
    <w:uiPriority w:val="34"/>
    <w:qFormat/>
    <w:rsid w:val="00675668"/>
    <w:pPr>
      <w:ind w:left="720"/>
      <w:contextualSpacing/>
    </w:pPr>
  </w:style>
  <w:style w:type="paragraph" w:customStyle="1" w:styleId="Default">
    <w:name w:val="Default"/>
    <w:rsid w:val="009F13A0"/>
    <w:pPr>
      <w:autoSpaceDE w:val="0"/>
      <w:autoSpaceDN w:val="0"/>
      <w:adjustRightInd w:val="0"/>
      <w:spacing w:after="0" w:line="240" w:lineRule="auto"/>
    </w:pPr>
    <w:rPr>
      <w:rFonts w:ascii="Verdana" w:hAnsi="Verdana" w:cs="Verdana"/>
      <w:color w:val="000000"/>
      <w:sz w:val="24"/>
      <w:szCs w:val="24"/>
    </w:rPr>
  </w:style>
  <w:style w:type="paragraph" w:styleId="Encabezado">
    <w:name w:val="header"/>
    <w:basedOn w:val="Normal"/>
    <w:link w:val="EncabezadoCar"/>
    <w:uiPriority w:val="99"/>
    <w:unhideWhenUsed/>
    <w:rsid w:val="005337F1"/>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5337F1"/>
  </w:style>
  <w:style w:type="paragraph" w:styleId="Piedepgina">
    <w:name w:val="footer"/>
    <w:basedOn w:val="Normal"/>
    <w:link w:val="PiedepginaCar"/>
    <w:uiPriority w:val="99"/>
    <w:unhideWhenUsed/>
    <w:rsid w:val="005337F1"/>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5337F1"/>
  </w:style>
  <w:style w:type="paragraph" w:styleId="NormalWeb">
    <w:name w:val="Normal (Web)"/>
    <w:basedOn w:val="Normal"/>
    <w:uiPriority w:val="99"/>
    <w:unhideWhenUsed/>
    <w:rsid w:val="00780952"/>
    <w:pPr>
      <w:spacing w:before="100" w:beforeAutospacing="1" w:after="100" w:afterAutospacing="1" w:line="240" w:lineRule="auto"/>
    </w:pPr>
    <w:rPr>
      <w:rFonts w:ascii="Times New Roman" w:eastAsia="Times New Roman" w:hAnsi="Times New Roman" w:cs="Times New Roman"/>
      <w:sz w:val="24"/>
      <w:szCs w:val="24"/>
      <w:lang w:val="es-EC" w:eastAsia="es-MX"/>
    </w:rPr>
  </w:style>
  <w:style w:type="character" w:customStyle="1" w:styleId="PrrafodelistaCar">
    <w:name w:val="Párrafo de lista Car"/>
    <w:aliases w:val="Footnote Car,List Paragraph1 Car,Colorful List - Accent 11 Car,Párrafo de lista1 Car,List Paragraph2 Car,Lista vistosa - Énfasis 11 Car"/>
    <w:link w:val="Prrafodelista"/>
    <w:uiPriority w:val="34"/>
    <w:rsid w:val="00AB4D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430</Words>
  <Characters>2370</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Corte IDH</dc:creator>
  <cp:lastModifiedBy>Romina Troconis</cp:lastModifiedBy>
  <cp:revision>9</cp:revision>
  <dcterms:created xsi:type="dcterms:W3CDTF">2023-05-14T16:07:00Z</dcterms:created>
  <dcterms:modified xsi:type="dcterms:W3CDTF">2025-01-07T19:41:00Z</dcterms:modified>
</cp:coreProperties>
</file>